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антикризисное управление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антикризисное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антикризисное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антикризисное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антикризисное 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45.8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кризиса. Теория экономических циклов. Экономический цикл,  фазы экономического цикла. Кризис как фаза цикла. Классификация экономических кризисов. Классификация кризисов предприятия. Типы цикличности: циклы Жуглара, Китчина, Кузнеца, Кондратьева, Форестера, Тофлера. Кризисы в макроэкономике. Признаки кризисов в системе  государственного управления, этапы развития кризиса государственного управления. Кризисы в микроэкономике. Классификация кризисов предприятий. Виды кризисов предприятия по  причине возникновения. Жизненный цикл фирмы и кризисы по фазам жизненного цикла.</w:t>
            </w:r>
          </w:p>
          <w:p>
            <w:pPr>
              <w:jc w:val="both"/>
              <w:spacing w:after="0" w:line="240" w:lineRule="auto"/>
              <w:rPr>
                <w:sz w:val="24"/>
                <w:szCs w:val="24"/>
              </w:rPr>
            </w:pPr>
            <w:r>
              <w:rPr>
                <w:rFonts w:ascii="Times New Roman" w:hAnsi="Times New Roman" w:cs="Times New Roman"/>
                <w:color w:val="#000000"/>
                <w:sz w:val="24"/>
                <w:szCs w:val="24"/>
              </w:rPr>
              <w:t> Антикризисное управление. Цель и задачи антикризисного управления, его сущность. Объект и предмет антикризисного управления. Функции антикризисного управления. Устойчивость функционирования и развития предприятия. Точка вхождения предприятия в  кризис. Процесс развития несостоятельности на предприятии. Распознавание кризиса.</w:t>
            </w:r>
          </w:p>
          <w:p>
            <w:pPr>
              <w:jc w:val="both"/>
              <w:spacing w:after="0" w:line="240" w:lineRule="auto"/>
              <w:rPr>
                <w:sz w:val="24"/>
                <w:szCs w:val="24"/>
              </w:rPr>
            </w:pPr>
            <w:r>
              <w:rPr>
                <w:rFonts w:ascii="Times New Roman" w:hAnsi="Times New Roman" w:cs="Times New Roman"/>
                <w:color w:val="#000000"/>
                <w:sz w:val="24"/>
                <w:szCs w:val="24"/>
              </w:rPr>
              <w:t> Причины, симптомы, факторы, последствия кризиса. Этапы антикризисного управления на предприятии</w:t>
            </w:r>
          </w:p>
        </w:tc>
      </w:tr>
      <w:tr>
        <w:trPr>
          <w:trHeight w:hRule="exact" w:val="436.58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в области антикризисного регулирования.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государственного антикризисного регулирования. Роль государства в рыночной экономике. Государственная политика в области антикризисного регулирования. Цель и задачи государственного антикризисного регулирования. Направления государственного антикризисного регулирования. Административные и экономические рычаги государственного антикризисного регулирования. Антициклическое регулирование, направления и инструменты антициклического регулирования. Законодательство в области антикризисного регулирования.</w:t>
            </w:r>
          </w:p>
          <w:p>
            <w:pPr>
              <w:jc w:val="both"/>
              <w:spacing w:after="0" w:line="240" w:lineRule="auto"/>
              <w:rPr>
                <w:sz w:val="24"/>
                <w:szCs w:val="24"/>
              </w:rPr>
            </w:pPr>
            <w:r>
              <w:rPr>
                <w:rFonts w:ascii="Times New Roman" w:hAnsi="Times New Roman" w:cs="Times New Roman"/>
                <w:color w:val="#000000"/>
                <w:sz w:val="24"/>
                <w:szCs w:val="24"/>
              </w:rPr>
              <w:t> Нормативно-законодательное регулирование. Создание правовой базы для проведения антикризисного управления. Законодательство о банкротстве, включая Гражданский кодекс РФ, где установлены основные правовые нормы банкротства, Налоговый, Трудовой и Уголовный кодексы РФ, три основных закона о банкротстве, принятые в новой российской истории, законы о банкротстве кредитных организаций и субъектов естественных монополий топливно-энергетического комплекса, другие законодательные акты, постановления Правительства РФ, указы Президента РФ, постановления пленумов Высшего арбитражного суда РФ и ведомственные акты по вопросам банкротства и финансового оздоровления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курс»,Ф. Рузвельт, США 30-е гг. «Германское чудо», Л. Эрхард, Канцлер ФРГ: концепция «социального рыночного хозяйства». Антикризисная политика Японии 1945- 1952гг. Банкротство за рубежом. Мировая история банкротства. Развитие института банкротства в США, Германии, Великобритании, Франции, Японии. Опыт государственного регулирования кризисных ситуаций в США. Применение зарубежного опыта антикризисного управления в отечественной практике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3831.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регулирование. Использование финансовых рычагов и ресурсов государства для проведения антикризисных мер. Этот вид регулирования основывается на использовании бюджетной системы государства, где аккумулируются государственные финансовые ресурсы, и проведении бюджетной политики, призванной обеспечивать финансовую поддержку в кризисной ситуации и смягчать отрицательные последствия кризисов</w:t>
            </w:r>
          </w:p>
          <w:p>
            <w:pPr>
              <w:jc w:val="both"/>
              <w:spacing w:after="0" w:line="240" w:lineRule="auto"/>
              <w:rPr>
                <w:sz w:val="24"/>
                <w:szCs w:val="24"/>
              </w:rPr>
            </w:pPr>
            <w:r>
              <w:rPr>
                <w:rFonts w:ascii="Times New Roman" w:hAnsi="Times New Roman" w:cs="Times New Roman"/>
                <w:color w:val="#000000"/>
                <w:sz w:val="24"/>
                <w:szCs w:val="24"/>
              </w:rPr>
              <w:t> Государственная промышленная политика. Прогнозирование ситуации на будущие периоды, определение основных приоритетов промышленного развития и разработка мер, которые позволят стимулировать инвестиционные программы для скорейшего продвижения реформ, сокращать и (или) ликвидировать неэффективные производства</w:t>
            </w:r>
          </w:p>
          <w:p>
            <w:pPr>
              <w:jc w:val="both"/>
              <w:spacing w:after="0" w:line="240" w:lineRule="auto"/>
              <w:rPr>
                <w:sz w:val="24"/>
                <w:szCs w:val="24"/>
              </w:rPr>
            </w:pPr>
            <w:r>
              <w:rPr>
                <w:rFonts w:ascii="Times New Roman" w:hAnsi="Times New Roman" w:cs="Times New Roman"/>
                <w:color w:val="#000000"/>
                <w:sz w:val="24"/>
                <w:szCs w:val="24"/>
              </w:rPr>
              <w:t> Перераспределение доходов.  Механизм обеспечения социальной защиты различных слоев и групп населения в целях поступательного развития экономики. Государство должно гарантировать</w:t>
            </w:r>
          </w:p>
          <w:p>
            <w:pPr>
              <w:jc w:val="both"/>
              <w:spacing w:after="0" w:line="240" w:lineRule="auto"/>
              <w:rPr>
                <w:sz w:val="24"/>
                <w:szCs w:val="24"/>
              </w:rPr>
            </w:pPr>
            <w:r>
              <w:rPr>
                <w:rFonts w:ascii="Times New Roman" w:hAnsi="Times New Roman" w:cs="Times New Roman"/>
                <w:color w:val="#000000"/>
                <w:sz w:val="24"/>
                <w:szCs w:val="24"/>
              </w:rPr>
              <w:t> минимальный социальный пакет – социальный стандарт, финансируемый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федерального бюджета. Это осуществляется изъятием части доходов: богатых слоев населения и перераспределением в пользу наиболее бедных слоев населения; высокодоходных регионов и их перераспределением в пользу дотационных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2. Основные принципы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эффективности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Понятие, определение и признаки кризиса</w:t>
            </w:r>
          </w:p>
          <w:p>
            <w:pPr>
              <w:jc w:val="left"/>
              <w:spacing w:after="0" w:line="240" w:lineRule="auto"/>
              <w:rPr>
                <w:sz w:val="24"/>
                <w:szCs w:val="24"/>
              </w:rPr>
            </w:pPr>
            <w:r>
              <w:rPr>
                <w:rFonts w:ascii="Times New Roman" w:hAnsi="Times New Roman" w:cs="Times New Roman"/>
                <w:color w:val="#000000"/>
                <w:sz w:val="24"/>
                <w:szCs w:val="24"/>
              </w:rPr>
              <w:t> 5. Причины возникновения кризисов и их классификация</w:t>
            </w:r>
          </w:p>
          <w:p>
            <w:pPr>
              <w:jc w:val="left"/>
              <w:spacing w:after="0" w:line="240" w:lineRule="auto"/>
              <w:rPr>
                <w:sz w:val="24"/>
                <w:szCs w:val="24"/>
              </w:rPr>
            </w:pPr>
            <w:r>
              <w:rPr>
                <w:rFonts w:ascii="Times New Roman" w:hAnsi="Times New Roman" w:cs="Times New Roman"/>
                <w:color w:val="#000000"/>
                <w:sz w:val="24"/>
                <w:szCs w:val="24"/>
              </w:rPr>
              <w:t> 6. Экономические кризисы, особенности и виды</w:t>
            </w:r>
          </w:p>
          <w:p>
            <w:pPr>
              <w:jc w:val="left"/>
              <w:spacing w:after="0" w:line="240" w:lineRule="auto"/>
              <w:rPr>
                <w:sz w:val="24"/>
                <w:szCs w:val="24"/>
              </w:rPr>
            </w:pPr>
            <w:r>
              <w:rPr>
                <w:rFonts w:ascii="Times New Roman" w:hAnsi="Times New Roman" w:cs="Times New Roman"/>
                <w:color w:val="#000000"/>
                <w:sz w:val="24"/>
                <w:szCs w:val="24"/>
              </w:rPr>
              <w:t> 7. Понятие и виды кризисов</w:t>
            </w:r>
          </w:p>
          <w:p>
            <w:pPr>
              <w:jc w:val="left"/>
              <w:spacing w:after="0" w:line="240" w:lineRule="auto"/>
              <w:rPr>
                <w:sz w:val="24"/>
                <w:szCs w:val="24"/>
              </w:rPr>
            </w:pPr>
            <w:r>
              <w:rPr>
                <w:rFonts w:ascii="Times New Roman" w:hAnsi="Times New Roman" w:cs="Times New Roman"/>
                <w:color w:val="#000000"/>
                <w:sz w:val="24"/>
                <w:szCs w:val="24"/>
              </w:rPr>
              <w:t> 8. Элементы и сферы эндогенной активации кризиса и экзогенной активации кризиса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Кризис как закономерность социального развития</w:t>
            </w:r>
          </w:p>
          <w:p>
            <w:pPr>
              <w:jc w:val="left"/>
              <w:spacing w:after="0" w:line="240" w:lineRule="auto"/>
              <w:rPr>
                <w:sz w:val="24"/>
                <w:szCs w:val="24"/>
              </w:rPr>
            </w:pPr>
            <w:r>
              <w:rPr>
                <w:rFonts w:ascii="Times New Roman" w:hAnsi="Times New Roman" w:cs="Times New Roman"/>
                <w:color w:val="#000000"/>
                <w:sz w:val="24"/>
                <w:szCs w:val="24"/>
              </w:rPr>
              <w:t> 2. Антикризисное управление и его особенности</w:t>
            </w:r>
          </w:p>
          <w:p>
            <w:pPr>
              <w:jc w:val="left"/>
              <w:spacing w:after="0" w:line="240" w:lineRule="auto"/>
              <w:rPr>
                <w:sz w:val="24"/>
                <w:szCs w:val="24"/>
              </w:rPr>
            </w:pPr>
            <w:r>
              <w:rPr>
                <w:rFonts w:ascii="Times New Roman" w:hAnsi="Times New Roman" w:cs="Times New Roman"/>
                <w:color w:val="#000000"/>
                <w:sz w:val="24"/>
                <w:szCs w:val="24"/>
              </w:rPr>
              <w:t> 3.Правовое обеспечение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Федеральные законы «О несостоятельности (банкротстве)» No 127-ФЗ от 26. 10. 2002; Постановления Правительства о реструктуризации просроченной задолженности в федеральный бюджет.</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left"/>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left"/>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left"/>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left"/>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США: программа Франклина Рузвельта «Новый курс»</w:t>
            </w:r>
          </w:p>
          <w:p>
            <w:pPr>
              <w:jc w:val="left"/>
              <w:spacing w:after="0" w:line="240" w:lineRule="auto"/>
              <w:rPr>
                <w:sz w:val="24"/>
                <w:szCs w:val="24"/>
              </w:rPr>
            </w:pPr>
            <w:r>
              <w:rPr>
                <w:rFonts w:ascii="Times New Roman" w:hAnsi="Times New Roman" w:cs="Times New Roman"/>
                <w:color w:val="#000000"/>
                <w:sz w:val="24"/>
                <w:szCs w:val="24"/>
              </w:rPr>
              <w:t> 2. ФРГ: программа Людвига Эрхарда «Благосостояние для всех»</w:t>
            </w:r>
          </w:p>
          <w:p>
            <w:pPr>
              <w:jc w:val="left"/>
              <w:spacing w:after="0" w:line="240" w:lineRule="auto"/>
              <w:rPr>
                <w:sz w:val="24"/>
                <w:szCs w:val="24"/>
              </w:rPr>
            </w:pPr>
            <w:r>
              <w:rPr>
                <w:rFonts w:ascii="Times New Roman" w:hAnsi="Times New Roman" w:cs="Times New Roman"/>
                <w:color w:val="#000000"/>
                <w:sz w:val="24"/>
                <w:szCs w:val="24"/>
              </w:rPr>
              <w:t> 3. Япония: стратегия быстрого экономического развития в период послевоенного кризиса</w:t>
            </w:r>
          </w:p>
          <w:p>
            <w:pPr>
              <w:jc w:val="left"/>
              <w:spacing w:after="0" w:line="240" w:lineRule="auto"/>
              <w:rPr>
                <w:sz w:val="24"/>
                <w:szCs w:val="24"/>
              </w:rPr>
            </w:pPr>
            <w:r>
              <w:rPr>
                <w:rFonts w:ascii="Times New Roman" w:hAnsi="Times New Roman" w:cs="Times New Roman"/>
                <w:color w:val="#000000"/>
                <w:sz w:val="24"/>
                <w:szCs w:val="24"/>
              </w:rPr>
              <w:t> 4. КНР: «Стратегия рыночных реформ внутри страны и открытости внешнему миру» (1980—1990 годы)</w:t>
            </w:r>
          </w:p>
          <w:p>
            <w:pPr>
              <w:jc w:val="left"/>
              <w:spacing w:after="0" w:line="240" w:lineRule="auto"/>
              <w:rPr>
                <w:sz w:val="24"/>
                <w:szCs w:val="24"/>
              </w:rPr>
            </w:pPr>
            <w:r>
              <w:rPr>
                <w:rFonts w:ascii="Times New Roman" w:hAnsi="Times New Roman" w:cs="Times New Roman"/>
                <w:color w:val="#000000"/>
                <w:sz w:val="24"/>
                <w:szCs w:val="24"/>
              </w:rPr>
              <w:t> 5. Польша: опыт выхода из «индустриально развитого социализма» и переход к устойчивой рыночной экономике (1990—1993 годы)</w:t>
            </w:r>
          </w:p>
          <w:p>
            <w:pPr>
              <w:jc w:val="left"/>
              <w:spacing w:after="0" w:line="240" w:lineRule="auto"/>
              <w:rPr>
                <w:sz w:val="24"/>
                <w:szCs w:val="24"/>
              </w:rPr>
            </w:pPr>
            <w:r>
              <w:rPr>
                <w:rFonts w:ascii="Times New Roman" w:hAnsi="Times New Roman" w:cs="Times New Roman"/>
                <w:color w:val="#000000"/>
                <w:sz w:val="24"/>
                <w:szCs w:val="24"/>
              </w:rPr>
              <w:t> 6. Украина: майданная «революция достоинства» и антикризисный курс под лозунгами европейского выбора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21.31518"/>
        </w:trPr>
        <w:tc>
          <w:tcPr>
            <w:tcW w:w="9640" w:type="dxa"/>
          </w:tcPr>
          <w:p/>
        </w:tc>
      </w:tr>
      <w:tr>
        <w:trPr>
          <w:trHeight w:hRule="exact" w:val="1704.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Глобальное управление: сущность, цели, принципы, функции</w:t>
            </w:r>
          </w:p>
          <w:p>
            <w:pPr>
              <w:jc w:val="left"/>
              <w:spacing w:after="0" w:line="240" w:lineRule="auto"/>
              <w:rPr>
                <w:sz w:val="24"/>
                <w:szCs w:val="24"/>
              </w:rPr>
            </w:pPr>
            <w:r>
              <w:rPr>
                <w:rFonts w:ascii="Times New Roman" w:hAnsi="Times New Roman" w:cs="Times New Roman"/>
                <w:color w:val="#000000"/>
                <w:sz w:val="24"/>
                <w:szCs w:val="24"/>
              </w:rPr>
              <w:t> 2.	Политика противодействия санкциям</w:t>
            </w:r>
          </w:p>
          <w:p>
            <w:pPr>
              <w:jc w:val="left"/>
              <w:spacing w:after="0" w:line="240" w:lineRule="auto"/>
              <w:rPr>
                <w:sz w:val="24"/>
                <w:szCs w:val="24"/>
              </w:rPr>
            </w:pPr>
            <w:r>
              <w:rPr>
                <w:rFonts w:ascii="Times New Roman" w:hAnsi="Times New Roman" w:cs="Times New Roman"/>
                <w:color w:val="#000000"/>
                <w:sz w:val="24"/>
                <w:szCs w:val="24"/>
              </w:rPr>
              <w:t> 3.	Базовые составляющие государственной антикризисной стратегии: общий контекст</w:t>
            </w:r>
          </w:p>
          <w:p>
            <w:pPr>
              <w:jc w:val="left"/>
              <w:spacing w:after="0" w:line="240" w:lineRule="auto"/>
              <w:rPr>
                <w:sz w:val="24"/>
                <w:szCs w:val="24"/>
              </w:rPr>
            </w:pPr>
            <w:r>
              <w:rPr>
                <w:rFonts w:ascii="Times New Roman" w:hAnsi="Times New Roman" w:cs="Times New Roman"/>
                <w:color w:val="#000000"/>
                <w:sz w:val="24"/>
                <w:szCs w:val="24"/>
              </w:rPr>
              <w:t> 4.	Формы глобального управляющего воздействия и особенности их использования в условиях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Государственное антикризисное управление: на пути к новой модели устойчивого социально-экономического развития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антикризисное управление»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хаоса.</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https://www.biblio-online.ru/bcode/412006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7.0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2023-2024_ФГОС3++2023_Бак-ОФО-ГМУ(ГМС)(23)_plx_Государственное антикризисное управление</dc:title>
  <dc:creator>FastReport.NET</dc:creator>
</cp:coreProperties>
</file>